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F6AA" w14:textId="77777777" w:rsidR="00EA089C" w:rsidRDefault="00EA089C" w:rsidP="00EA089C">
      <w:pPr>
        <w:ind w:left="-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DCE02" wp14:editId="3A211FEB">
                <wp:simplePos x="0" y="0"/>
                <wp:positionH relativeFrom="margin">
                  <wp:posOffset>-495300</wp:posOffset>
                </wp:positionH>
                <wp:positionV relativeFrom="paragraph">
                  <wp:posOffset>323850</wp:posOffset>
                </wp:positionV>
                <wp:extent cx="5803900" cy="75311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753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98AAF" w14:textId="6FC08B1F" w:rsidR="00EA089C" w:rsidRPr="00692E0C" w:rsidRDefault="00EA089C" w:rsidP="00EA089C">
                            <w:pPr>
                              <w:ind w:left="90"/>
                              <w:jc w:val="center"/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</w:pPr>
                            <w:r w:rsidRPr="00692E0C"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  <w:t>ARSYETIM</w:t>
                            </w:r>
                            <w:r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  <w:t>I I KOMISIONIT TË GARAVE</w:t>
                            </w:r>
                            <w:r w:rsidRPr="00692E0C"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  <w:t xml:space="preserve"> </w:t>
                            </w:r>
                            <w:r w:rsidRPr="00692E0C"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  <w:br/>
                              <w:t xml:space="preserve">VENDIMI Nr. </w:t>
                            </w:r>
                            <w:r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  <w:t>7</w:t>
                            </w:r>
                            <w:r w:rsidRPr="00692E0C">
                              <w:rPr>
                                <w:rFonts w:ascii="Abadi" w:hAnsi="Abadi" w:cs="AppleSystemUIFont"/>
                                <w:b/>
                                <w:bCs/>
                                <w:color w:val="1D3B7D"/>
                                <w:lang w:val="sq-AL"/>
                              </w:rPr>
                              <w:t>/2022</w:t>
                            </w:r>
                          </w:p>
                          <w:p w14:paraId="428A2D79" w14:textId="272E0DDC" w:rsidR="00EA089C" w:rsidRDefault="00EA089C" w:rsidP="00EA089C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Gjatë vendimmarrjes lidhur me pikën 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1</w:t>
                            </w: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të Vendimit Nr.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7</w:t>
                            </w:r>
                            <w:r w:rsidRPr="00692E0C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/2022, Komisioni i Garave ka marrë parasysh faktet në vijim: </w:t>
                            </w:r>
                          </w:p>
                          <w:p w14:paraId="57B975F2" w14:textId="61C83B5F" w:rsidR="00EA089C" w:rsidRDefault="00EA089C" w:rsidP="00EA089C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I: Lojtari </w:t>
                            </w:r>
                            <w:proofErr w:type="spellStart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Musab</w:t>
                            </w:r>
                            <w:proofErr w:type="spellEnd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Mala</w:t>
                            </w:r>
                            <w:proofErr w:type="spellEnd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, m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dat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18.11.2022 ka d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rguar k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rkes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p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 shk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putje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kontrat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s me KB Rahoveci dhe </w:t>
                            </w:r>
                            <w:r w:rsidR="00833F31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përveç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kopjes s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kontrat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s, k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rkes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 ia ka bashk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ngjitur edhe d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shmit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q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rkes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n p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 shk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putje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kontrat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 e ka d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rguar paraprakisht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klub, dhe qarkullimin bankar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xhirollogarin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e tij personale.</w:t>
                            </w:r>
                          </w:p>
                          <w:p w14:paraId="49FF42E3" w14:textId="5D8733F0" w:rsidR="00EA089C" w:rsidRDefault="00EA089C" w:rsidP="00EA089C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II: Komisioni i Garave ka k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rkuar q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KB Rahoveci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d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rgoj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dokument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e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t p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rkat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e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p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 k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l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nd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dhe m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dat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25.11.2022, KB Rahoveci ka d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rguar vendimet disiplinore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shqiptuara ndaj lojtarit, Rregulloren </w:t>
                            </w:r>
                            <w:r w:rsidR="00833F31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Disiplinore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klubit dhe d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shmin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q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klubi e ka paditur lojtarin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</w:t>
                            </w:r>
                            <w:r w:rsidR="00833F31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Gjykatën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Themelore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Gjakov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p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 shk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putje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nj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anshme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kontrat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s. Klubi po ashtu ka k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rkuar q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organet e FBK-s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shpallen </w:t>
                            </w:r>
                            <w:r w:rsidR="00833F31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jo kompetente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p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 trajtimin e rastit, p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 shkak se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kontrat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ceket se Gjykata Themelore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Gjakov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s 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sht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instanca kompetente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334D8A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rast kontesti.</w:t>
                            </w:r>
                          </w:p>
                          <w:p w14:paraId="24B32124" w14:textId="61BE43F0" w:rsidR="00334D8A" w:rsidRDefault="00334D8A" w:rsidP="00334D8A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III: Komisioni i Garave, duke vep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uar brenda dispozitave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Rregullores p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r </w:t>
                            </w:r>
                            <w:r w:rsidR="00833F31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Licencim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e Kalim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Klubeve dhe Lojtar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ve, ka aranzhuar edhe nj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takim trepal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sh (klubi – lojtari – komisioni) m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02.12.2022 me pjes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marrje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Adrian</w:t>
                            </w:r>
                            <w:proofErr w:type="spellEnd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Sharku e Arian </w:t>
                            </w:r>
                            <w:proofErr w:type="spellStart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Osa</w:t>
                            </w:r>
                            <w:proofErr w:type="spellEnd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(KB Rahoveci), </w:t>
                            </w:r>
                            <w:proofErr w:type="spellStart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Musab</w:t>
                            </w:r>
                            <w:proofErr w:type="spellEnd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Mala</w:t>
                            </w:r>
                            <w:proofErr w:type="spellEnd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(lojtari) dhe </w:t>
                            </w:r>
                            <w:proofErr w:type="spellStart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Leart</w:t>
                            </w:r>
                            <w:proofErr w:type="spellEnd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Hoxha e Valdet </w:t>
                            </w:r>
                            <w:proofErr w:type="spellStart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Spahija</w:t>
                            </w:r>
                            <w:proofErr w:type="spellEnd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(Komisioni i Garave).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takim Komisioni ka d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gjuar edhe argumentet shtes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pal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ve. KB Rahoveci </w:t>
                            </w:r>
                            <w:proofErr w:type="spellStart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specifikisht</w:t>
                            </w:r>
                            <w:proofErr w:type="spellEnd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ka k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rkuar q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Komisioni i Garave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mos merret me l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nd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n, duke e cil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suar si </w:t>
                            </w:r>
                            <w:r w:rsidR="00833F31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jo kompetent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, por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pritet vendimi i Gjykat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 Themelore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Gjakov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. Me k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rkes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Komisionit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Garave, p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rfaq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suesit e klubeve kan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dh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holl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si rreth masave disiplinore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shqiptuara ndaj lojtarit. Lojtari ka paraqitur shkeljet e pretenduara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kontrat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 nga ana e klubit dhe ka p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rs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ritur k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rkes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n q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lirohet nga kontrata.</w:t>
                            </w:r>
                          </w:p>
                          <w:p w14:paraId="224E6320" w14:textId="64A97C87" w:rsidR="00EA089C" w:rsidRDefault="00334D8A" w:rsidP="00334D8A">
                            <w:pPr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IV: Komisioni m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pas,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takim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</w:t>
                            </w:r>
                            <w:r w:rsidR="00833F31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veçantë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, ka konstatuar, se:</w:t>
                            </w:r>
                          </w:p>
                          <w:p w14:paraId="1A08D839" w14:textId="7CA24927" w:rsidR="00334D8A" w:rsidRDefault="00334D8A" w:rsidP="00334D8A">
                            <w:pPr>
                              <w:pStyle w:val="Paragrafiilist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baz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Rregullores p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 Licencim e Kalim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Klubeve dhe Lojtar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ve, Komisioni i Garave 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sht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autoriteti p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rkat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 p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r shqyrtimin e kontesteve </w:t>
                            </w:r>
                            <w:proofErr w:type="spellStart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kontraktuale</w:t>
                            </w:r>
                            <w:proofErr w:type="spellEnd"/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, ku definohet statusi i lojtarit dhe e drejta e ose obligimi i tij p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qen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lojtari i lir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, apo lojtari i ndonj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klubi. Komisioni konstaton q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pal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t jan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dakorduar</w:t>
                            </w:r>
                            <w:proofErr w:type="spellEnd"/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q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rast kontesti, autoriteti kompetent 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sht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Gjykata Themelore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Gjakov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dhe konstaton q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Gjykat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duhet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trajtohen </w:t>
                            </w:r>
                            <w:r w:rsidR="00833F31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çështjet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e kontestit civil dhe administrativ q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derivojn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proofErr w:type="spellEnd"/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nga kontrata, kurse Komisioni i Garave e trajton vet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904CC7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m statusin e lojtarit.</w:t>
                            </w:r>
                          </w:p>
                          <w:p w14:paraId="68484766" w14:textId="3F58A0A3" w:rsidR="00904CC7" w:rsidRDefault="0009415B" w:rsidP="00334D8A">
                            <w:pPr>
                              <w:pStyle w:val="Paragrafiilist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KB Rahoveci dhe lojtari kan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pasur nj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takim, ku </w:t>
                            </w:r>
                            <w:r w:rsidR="002F541E"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konstatohet se lojtari ka qen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i l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nduar dhe nuk ka qen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gjendje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st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rvi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os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e</w:t>
                            </w:r>
                            <w:r w:rsidR="002F541E"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luaj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.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takim </w:t>
                            </w:r>
                            <w:r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lojtarit i 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sht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shqiptuar masa disiplinore, d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nim me 10%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pag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 s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muajit tetor, p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 shkak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mos pranis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st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rvitje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P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klubit</w:t>
                            </w:r>
                            <w:r w:rsid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, sipas k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rkes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 s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trajnerit. Klubi po ashtu evidenton seancat e fizioterapis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,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cikave lojtari iu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nshtrohet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Mitrovic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(vendlindja e lojtarit), si arsyetim 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lojtarit p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 mospjes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marrje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st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 w:rsidR="002F541E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rvitje.</w:t>
                            </w:r>
                          </w:p>
                          <w:p w14:paraId="67235BE6" w14:textId="6127CB33" w:rsidR="002F541E" w:rsidRPr="002F541E" w:rsidRDefault="002F541E" w:rsidP="00334D8A">
                            <w:pPr>
                              <w:pStyle w:val="Paragrafiilist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Klubi pohon se lojtari pa miratimin e klubit ka fill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uar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tretmanin mjek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sor n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Mitrovic</w:t>
                            </w:r>
                            <w:r w:rsidR="00C635BB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, kurse </w:t>
                            </w:r>
                          </w:p>
                          <w:p w14:paraId="343D8C0E" w14:textId="77777777" w:rsidR="00EA089C" w:rsidRDefault="00EA089C" w:rsidP="00EA089C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</w:p>
                          <w:p w14:paraId="3832CF3A" w14:textId="77777777" w:rsidR="00EA089C" w:rsidRDefault="00EA089C" w:rsidP="00EA089C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</w:p>
                          <w:p w14:paraId="1044AB41" w14:textId="77777777" w:rsidR="00EA089C" w:rsidRPr="00692E0C" w:rsidRDefault="00EA089C" w:rsidP="00EA089C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</w:p>
                          <w:p w14:paraId="356AA585" w14:textId="77777777" w:rsidR="00EA089C" w:rsidRPr="00692E0C" w:rsidRDefault="00EA089C" w:rsidP="00EA089C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DC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pt;margin-top:25.5pt;width:457pt;height:59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" stroked="f">
                <v:textbox>
                  <w:txbxContent>
                    <w:p w14:paraId="28398AAF" w14:textId="6FC08B1F" w:rsidR="00EA089C" w:rsidRPr="00692E0C" w:rsidRDefault="00EA089C" w:rsidP="00EA089C">
                      <w:pPr>
                        <w:ind w:left="90"/>
                        <w:jc w:val="center"/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</w:pPr>
                      <w:r w:rsidRPr="00692E0C"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  <w:t>ARSYETIM</w:t>
                      </w:r>
                      <w:r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  <w:t>I I KOMISIONIT TË GARAVE</w:t>
                      </w:r>
                      <w:r w:rsidRPr="00692E0C"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  <w:t xml:space="preserve"> </w:t>
                      </w:r>
                      <w:r w:rsidRPr="00692E0C"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  <w:br/>
                        <w:t xml:space="preserve">VENDIMI Nr. </w:t>
                      </w:r>
                      <w:r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  <w:t>7</w:t>
                      </w:r>
                      <w:r w:rsidRPr="00692E0C">
                        <w:rPr>
                          <w:rFonts w:ascii="Abadi" w:hAnsi="Abadi" w:cs="AppleSystemUIFont"/>
                          <w:b/>
                          <w:bCs/>
                          <w:color w:val="1D3B7D"/>
                          <w:lang w:val="sq-AL"/>
                        </w:rPr>
                        <w:t>/2022</w:t>
                      </w:r>
                    </w:p>
                    <w:p w14:paraId="428A2D79" w14:textId="272E0DDC" w:rsidR="00EA089C" w:rsidRDefault="00EA089C" w:rsidP="00EA089C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Gjatë vendimmarrjes lidhur me pikën 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1</w:t>
                      </w: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të Vendimit Nr.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7</w:t>
                      </w:r>
                      <w:r w:rsidRPr="00692E0C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/2022, Komisioni i Garave ka marrë parasysh faktet në vijim: </w:t>
                      </w:r>
                    </w:p>
                    <w:p w14:paraId="57B975F2" w14:textId="61C83B5F" w:rsidR="00EA089C" w:rsidRDefault="00EA089C" w:rsidP="00EA089C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I: Lojtari </w:t>
                      </w:r>
                      <w:proofErr w:type="spellStart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Musab</w:t>
                      </w:r>
                      <w:proofErr w:type="spellEnd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Mala</w:t>
                      </w:r>
                      <w:proofErr w:type="spellEnd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, m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dat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18.11.2022 ka d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rguar k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rkes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p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 shk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putje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kontrat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s me KB Rahoveci dhe </w:t>
                      </w:r>
                      <w:r w:rsidR="00833F31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përveç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kopjes s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kontrat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s, k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rkes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 ia ka bashk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ngjitur edhe d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shmit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q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rkes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n p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 shk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putje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kontrat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 e ka d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rguar paraprakisht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klub, dhe qarkullimin bankar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xhirollogarin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e tij personale.</w:t>
                      </w:r>
                    </w:p>
                    <w:p w14:paraId="49FF42E3" w14:textId="5D8733F0" w:rsidR="00EA089C" w:rsidRDefault="00EA089C" w:rsidP="00EA089C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II: Komisioni i Garave ka k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rkuar q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KB Rahoveci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d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rgoj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dokument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e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t p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rkat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e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p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 k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l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nd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dhe m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dat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25.11.2022, KB Rahoveci ka d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rguar vendimet disiplinore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shqiptuara ndaj lojtarit, Rregulloren </w:t>
                      </w:r>
                      <w:r w:rsidR="00833F31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Disiplinore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klubit dhe d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shmin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q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klubi e ka paditur lojtarin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</w:t>
                      </w:r>
                      <w:r w:rsidR="00833F31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Gjykatën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Themelore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Gjakov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p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 shk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putje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nj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anshme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kontrat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s. Klubi po ashtu ka k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rkuar q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organet e FBK-s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shpallen </w:t>
                      </w:r>
                      <w:r w:rsidR="00833F31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jo kompetente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p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 trajtimin e rastit, p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 shkak se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kontrat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ceket se Gjykata Themelore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Gjakov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s 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sht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instanca kompetente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334D8A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rast kontesti.</w:t>
                      </w:r>
                    </w:p>
                    <w:p w14:paraId="24B32124" w14:textId="61BE43F0" w:rsidR="00334D8A" w:rsidRDefault="00334D8A" w:rsidP="00334D8A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III: Komisioni i Garave, duke vep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uar brenda dispozitave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Rregullores p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r </w:t>
                      </w:r>
                      <w:r w:rsidR="00833F31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Licencim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e Kalim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Klubeve dhe Lojtar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ve, ka aranzhuar edhe nj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takim trepal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sh (klubi – lojtari – komisioni) m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02.12.2022 me pjes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marrje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Adrian</w:t>
                      </w:r>
                      <w:proofErr w:type="spellEnd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Sharku e Arian </w:t>
                      </w:r>
                      <w:proofErr w:type="spellStart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Osa</w:t>
                      </w:r>
                      <w:proofErr w:type="spellEnd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(KB Rahoveci), </w:t>
                      </w:r>
                      <w:proofErr w:type="spellStart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Musab</w:t>
                      </w:r>
                      <w:proofErr w:type="spellEnd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Mala</w:t>
                      </w:r>
                      <w:proofErr w:type="spellEnd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(lojtari) dhe </w:t>
                      </w:r>
                      <w:proofErr w:type="spellStart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Leart</w:t>
                      </w:r>
                      <w:proofErr w:type="spellEnd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Hoxha e Valdet </w:t>
                      </w:r>
                      <w:proofErr w:type="spellStart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Spahija</w:t>
                      </w:r>
                      <w:proofErr w:type="spellEnd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(Komisioni i Garave).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takim Komisioni ka d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gjuar edhe argumentet shtes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pal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ve. KB Rahoveci </w:t>
                      </w:r>
                      <w:proofErr w:type="spellStart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specifikisht</w:t>
                      </w:r>
                      <w:proofErr w:type="spellEnd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ka k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rkuar q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Komisioni i Garave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mos merret me l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nd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n, duke e cil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suar si </w:t>
                      </w:r>
                      <w:r w:rsidR="00833F31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jo kompetent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, por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pritet vendimi i Gjykat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 Themelore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Gjakov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. Me k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rkes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Komisionit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Garave, p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rfaq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suesit e klubeve kan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dh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holl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si rreth masave disiplinore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shqiptuara ndaj lojtarit. Lojtari ka paraqitur shkeljet e pretenduara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kontrat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 nga ana e klubit dhe ka p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rs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ritur k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rkes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n q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lirohet nga kontrata.</w:t>
                      </w:r>
                    </w:p>
                    <w:p w14:paraId="224E6320" w14:textId="64A97C87" w:rsidR="00EA089C" w:rsidRDefault="00334D8A" w:rsidP="00334D8A">
                      <w:pPr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IV: Komisioni m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pas,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takim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</w:t>
                      </w:r>
                      <w:r w:rsidR="00833F31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veçantë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, ka konstatuar, se:</w:t>
                      </w:r>
                    </w:p>
                    <w:p w14:paraId="1A08D839" w14:textId="7CA24927" w:rsidR="00334D8A" w:rsidRDefault="00334D8A" w:rsidP="00334D8A">
                      <w:pPr>
                        <w:pStyle w:val="Paragrafiilist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baz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Rregullores p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 Licencim e Kalim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Klubeve dhe Lojtar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ve, Komisioni i Garave 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sht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autoriteti p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rkat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 p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r shqyrtimin e kontesteve </w:t>
                      </w:r>
                      <w:proofErr w:type="spellStart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kontraktuale</w:t>
                      </w:r>
                      <w:proofErr w:type="spellEnd"/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, ku definohet statusi i lojtarit dhe e drejta e ose obligimi i tij p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qen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lojtari i lir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, apo lojtari i ndonj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klubi. Komisioni konstaton q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pal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t jan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</w:t>
                      </w:r>
                      <w:proofErr w:type="spellStart"/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dakorduar</w:t>
                      </w:r>
                      <w:proofErr w:type="spellEnd"/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q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rast kontesti, autoriteti kompetent 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sht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Gjykata Themelore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Gjakov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dhe konstaton q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Gjykat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duhet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trajtohen </w:t>
                      </w:r>
                      <w:r w:rsidR="00833F31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çështjet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e kontestit civil dhe administrativ q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</w:t>
                      </w:r>
                      <w:proofErr w:type="spellStart"/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derivojn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proofErr w:type="spellEnd"/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nga kontrata, kurse Komisioni i Garave e trajton vet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904CC7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m statusin e lojtarit.</w:t>
                      </w:r>
                    </w:p>
                    <w:p w14:paraId="68484766" w14:textId="3F58A0A3" w:rsidR="00904CC7" w:rsidRDefault="0009415B" w:rsidP="00334D8A">
                      <w:pPr>
                        <w:pStyle w:val="Paragrafiilist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KB Rahoveci dhe lojtari kan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pasur nj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takim, ku </w:t>
                      </w:r>
                      <w:r w:rsidR="002F541E"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konstatohet se lojtari ka qen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i l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nduar dhe nuk ka qen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gjendje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st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rvi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os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e</w:t>
                      </w:r>
                      <w:r w:rsidR="002F541E"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luaj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.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takim </w:t>
                      </w:r>
                      <w:r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lojtarit i 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sht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shqiptuar masa disiplinore, d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nim me 10%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pag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 s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muajit tetor, p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 shkak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mos pranis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st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rvitje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P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klubit</w:t>
                      </w:r>
                      <w:r w:rsid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, sipas k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rkes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 s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trajnerit. Klubi po ashtu evidenton seancat e fizioterapis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,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cikave lojtari iu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nshtrohet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Mitrovic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(vendlindja e lojtarit), si arsyetim 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lojtarit p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 mospjes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marrje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st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 w:rsidR="002F541E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rvitje.</w:t>
                      </w:r>
                    </w:p>
                    <w:p w14:paraId="67235BE6" w14:textId="6127CB33" w:rsidR="002F541E" w:rsidRPr="002F541E" w:rsidRDefault="002F541E" w:rsidP="00334D8A">
                      <w:pPr>
                        <w:pStyle w:val="Paragrafiilist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Klubi pohon se lojtari pa miratimin e klubit ka fill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uar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tretmanin mjek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sor n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Mitrovic</w:t>
                      </w:r>
                      <w:r w:rsidR="00C635BB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, kurse </w:t>
                      </w:r>
                    </w:p>
                    <w:p w14:paraId="343D8C0E" w14:textId="77777777" w:rsidR="00EA089C" w:rsidRDefault="00EA089C" w:rsidP="00EA089C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</w:p>
                    <w:p w14:paraId="3832CF3A" w14:textId="77777777" w:rsidR="00EA089C" w:rsidRDefault="00EA089C" w:rsidP="00EA089C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</w:p>
                    <w:p w14:paraId="1044AB41" w14:textId="77777777" w:rsidR="00EA089C" w:rsidRPr="00692E0C" w:rsidRDefault="00EA089C" w:rsidP="00EA089C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</w:p>
                    <w:p w14:paraId="356AA585" w14:textId="77777777" w:rsidR="00EA089C" w:rsidRPr="00692E0C" w:rsidRDefault="00EA089C" w:rsidP="00EA089C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96F76AB" wp14:editId="3428484D">
            <wp:simplePos x="27296" y="-286603"/>
            <wp:positionH relativeFrom="margin">
              <wp:align>center</wp:align>
            </wp:positionH>
            <wp:positionV relativeFrom="margin">
              <wp:align>center</wp:align>
            </wp:positionV>
            <wp:extent cx="7737475" cy="10749280"/>
            <wp:effectExtent l="0" t="0" r="0" b="0"/>
            <wp:wrapSquare wrapText="bothSides"/>
            <wp:docPr id="4" name="Picture 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475" cy="1074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207E4" w14:textId="77777777" w:rsidR="002F541E" w:rsidRDefault="002F541E" w:rsidP="002F541E">
      <w:pPr>
        <w:ind w:left="-144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2B993C" wp14:editId="67724E70">
                <wp:simplePos x="0" y="0"/>
                <wp:positionH relativeFrom="margin">
                  <wp:posOffset>-463550</wp:posOffset>
                </wp:positionH>
                <wp:positionV relativeFrom="paragraph">
                  <wp:posOffset>349250</wp:posOffset>
                </wp:positionV>
                <wp:extent cx="5803900" cy="7531100"/>
                <wp:effectExtent l="0" t="0" r="635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753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ED048" w14:textId="2B2463B9" w:rsidR="002F541E" w:rsidRDefault="002F541E" w:rsidP="002F541E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kurse kl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u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bi kishte aranzhuar nj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institucion sh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ndet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sor me t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cilin ka marr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veshje q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kryej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tretmanin e lojtarit.</w:t>
                            </w:r>
                          </w:p>
                          <w:p w14:paraId="3A8CB0B1" w14:textId="51AAD16A" w:rsidR="002F541E" w:rsidRDefault="002F541E" w:rsidP="002F541E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d) lojtari konfirmon se trajtimin n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Mitrovic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e ka nisur me dijenin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e trajnerit, q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ka vizituar edhe institucionin sh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ndet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sor me t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cilin klubi ka marr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veshje, q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nuk i 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sht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kontestuar diagnoza dhe terapia dhe q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p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 shkak t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kushteve m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t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mi</w:t>
                            </w:r>
                            <w:r w:rsidR="002E0BA5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a, aparatur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 m</w:t>
                            </w:r>
                            <w:r w:rsidR="002E0BA5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o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derne dhe besimit n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stafin mjek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sor, ka vazhduar tretmanin n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</w:t>
                            </w:r>
                            <w:r w:rsidR="00833F31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Mitrovicë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.</w:t>
                            </w:r>
                          </w:p>
                          <w:p w14:paraId="14421D74" w14:textId="08FC016B" w:rsidR="002F541E" w:rsidRDefault="002F541E" w:rsidP="002F541E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e) komisioni ka konstatuar se shpenzimet e deritashme p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 tretmanin mjek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sor, lojtari i ka mbuluar me mjete </w:t>
                            </w:r>
                            <w:proofErr w:type="spellStart"/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vetanake</w:t>
                            </w:r>
                            <w:proofErr w:type="spellEnd"/>
                          </w:p>
                          <w:p w14:paraId="346CEBAE" w14:textId="65108491" w:rsidR="002F541E" w:rsidRDefault="002F541E" w:rsidP="002F541E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V: Duke u bazuar n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mos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-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p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rmbushjen e konstatuar t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obligimeve t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KB Rahoveci ndaj lojtarit, Komisioni 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ka vendosur si në </w:t>
                            </w:r>
                            <w:proofErr w:type="spellStart"/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dispoziti</w:t>
                            </w:r>
                            <w:r w:rsidR="00833F31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v</w:t>
                            </w:r>
                            <w:proofErr w:type="spellEnd"/>
                            <w:r w:rsidR="00833F31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 xml:space="preserve"> </w:t>
                            </w:r>
                            <w:r w:rsidR="00050D68"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  <w:t>të këtij vendimi.</w:t>
                            </w:r>
                          </w:p>
                          <w:p w14:paraId="2E99131A" w14:textId="77777777" w:rsidR="002F541E" w:rsidRDefault="002F541E" w:rsidP="002F541E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</w:p>
                          <w:p w14:paraId="417EA815" w14:textId="77777777" w:rsidR="002F541E" w:rsidRPr="00692E0C" w:rsidRDefault="002F541E" w:rsidP="002F541E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</w:p>
                          <w:p w14:paraId="33030D17" w14:textId="77777777" w:rsidR="002F541E" w:rsidRPr="00692E0C" w:rsidRDefault="002F541E" w:rsidP="002F541E">
                            <w:pPr>
                              <w:ind w:left="90"/>
                              <w:jc w:val="both"/>
                              <w:rPr>
                                <w:rFonts w:ascii="Abadi" w:hAnsi="Abadi" w:cs="AppleSystemUIFont"/>
                                <w:color w:val="1D3B7D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993C" id="_x0000_s1027" type="#_x0000_t202" style="position:absolute;left:0;text-align:left;margin-left:-36.5pt;margin-top:27.5pt;width:457pt;height:59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" stroked="f">
                <v:textbox>
                  <w:txbxContent>
                    <w:p w14:paraId="144ED048" w14:textId="2B2463B9" w:rsidR="002F541E" w:rsidRDefault="002F541E" w:rsidP="002F541E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kurse kl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u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bi kishte aranzhuar nj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institucion sh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ndet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sor me t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cilin ka marr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veshje q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kryej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tretmanin e lojtarit.</w:t>
                      </w:r>
                    </w:p>
                    <w:p w14:paraId="3A8CB0B1" w14:textId="51AAD16A" w:rsidR="002F541E" w:rsidRDefault="002F541E" w:rsidP="002F541E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d) lojtari konfirmon se trajtimin n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Mitrovic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e ka nisur me dijenin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e trajnerit, q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ka vizituar edhe institucionin sh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ndet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sor me t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cilin klubi ka marr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veshje, q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nuk i 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sht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kontestuar diagnoza dhe terapia dhe q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p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 shkak t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kushteve m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t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mi</w:t>
                      </w:r>
                      <w:r w:rsidR="002E0BA5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a, aparatur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 m</w:t>
                      </w:r>
                      <w:r w:rsidR="002E0BA5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o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derne dhe besimit n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stafin mjek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sor, ka vazhduar tretmanin n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</w:t>
                      </w:r>
                      <w:r w:rsidR="00833F31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Mitrovicë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.</w:t>
                      </w:r>
                    </w:p>
                    <w:p w14:paraId="14421D74" w14:textId="08FC016B" w:rsidR="002F541E" w:rsidRDefault="002F541E" w:rsidP="002F541E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e) komisioni ka konstatuar se shpenzimet e deritashme p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 tretmanin mjek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sor, lojtari i ka mbuluar me mjete </w:t>
                      </w:r>
                      <w:proofErr w:type="spellStart"/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vetanake</w:t>
                      </w:r>
                      <w:proofErr w:type="spellEnd"/>
                    </w:p>
                    <w:p w14:paraId="346CEBAE" w14:textId="65108491" w:rsidR="002F541E" w:rsidRDefault="002F541E" w:rsidP="002F541E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V: Duke u bazuar n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mos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-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p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rmbushjen e konstatuar t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obligimeve t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KB Rahoveci ndaj lojtarit, Komisioni 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ka vendosur si në </w:t>
                      </w:r>
                      <w:proofErr w:type="spellStart"/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dispoziti</w:t>
                      </w:r>
                      <w:r w:rsidR="00833F31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v</w:t>
                      </w:r>
                      <w:proofErr w:type="spellEnd"/>
                      <w:r w:rsidR="00833F31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 xml:space="preserve"> </w:t>
                      </w:r>
                      <w:r w:rsidR="00050D68"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  <w:t>të këtij vendimi.</w:t>
                      </w:r>
                    </w:p>
                    <w:p w14:paraId="2E99131A" w14:textId="77777777" w:rsidR="002F541E" w:rsidRDefault="002F541E" w:rsidP="002F541E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</w:p>
                    <w:p w14:paraId="417EA815" w14:textId="77777777" w:rsidR="002F541E" w:rsidRPr="00692E0C" w:rsidRDefault="002F541E" w:rsidP="002F541E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</w:p>
                    <w:p w14:paraId="33030D17" w14:textId="77777777" w:rsidR="002F541E" w:rsidRPr="00692E0C" w:rsidRDefault="002F541E" w:rsidP="002F541E">
                      <w:pPr>
                        <w:ind w:left="90"/>
                        <w:jc w:val="both"/>
                        <w:rPr>
                          <w:rFonts w:ascii="Abadi" w:hAnsi="Abadi" w:cs="AppleSystemUIFont"/>
                          <w:color w:val="1D3B7D"/>
                          <w:lang w:val="sq-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6A24F43" wp14:editId="5BC7AA22">
            <wp:simplePos x="27296" y="-286603"/>
            <wp:positionH relativeFrom="margin">
              <wp:align>center</wp:align>
            </wp:positionH>
            <wp:positionV relativeFrom="margin">
              <wp:align>center</wp:align>
            </wp:positionV>
            <wp:extent cx="7737475" cy="10749280"/>
            <wp:effectExtent l="0" t="0" r="0" b="0"/>
            <wp:wrapSquare wrapText="bothSides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475" cy="1074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5A026" w14:textId="77777777" w:rsidR="002F541E" w:rsidRDefault="002F541E" w:rsidP="002F541E"/>
    <w:p w14:paraId="59EDC857" w14:textId="77777777" w:rsidR="002F541E" w:rsidRDefault="002F541E" w:rsidP="002F541E"/>
    <w:p w14:paraId="280A9E0B" w14:textId="77777777" w:rsidR="00EA089C" w:rsidRDefault="00EA089C" w:rsidP="00EA089C"/>
    <w:p w14:paraId="7C1051C3" w14:textId="77777777" w:rsidR="00251AA8" w:rsidRDefault="00251AA8"/>
    <w:sectPr w:rsidR="00251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B77AD"/>
    <w:multiLevelType w:val="hybridMultilevel"/>
    <w:tmpl w:val="4A62F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05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9C"/>
    <w:rsid w:val="00050D68"/>
    <w:rsid w:val="0009415B"/>
    <w:rsid w:val="000E6947"/>
    <w:rsid w:val="00251AA8"/>
    <w:rsid w:val="002E0BA5"/>
    <w:rsid w:val="002F541E"/>
    <w:rsid w:val="00334D8A"/>
    <w:rsid w:val="005B5B44"/>
    <w:rsid w:val="00674205"/>
    <w:rsid w:val="00833F31"/>
    <w:rsid w:val="00904CC7"/>
    <w:rsid w:val="00C635BB"/>
    <w:rsid w:val="00EA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3ACCD"/>
  <w15:chartTrackingRefBased/>
  <w15:docId w15:val="{3894D3CC-FCA9-43C8-A4E0-1F6AAC1B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89C"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33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2022-12-06T18:12:00Z</cp:lastPrinted>
  <dcterms:created xsi:type="dcterms:W3CDTF">2022-12-06T18:12:00Z</dcterms:created>
  <dcterms:modified xsi:type="dcterms:W3CDTF">2022-12-06T18:12:00Z</dcterms:modified>
</cp:coreProperties>
</file>